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农贸市场明查打分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662"/>
        <w:gridCol w:w="5020"/>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662"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020"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widowControl/>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662"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02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662"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02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662" w:type="dxa"/>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（39）落实普法责任制，持续加强食品安全法律法规、国家标准、科学知识的宣传教育，得2分；否则不得分。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开展校园食品安全和营养教育，得2分；否则不得分。</w:t>
            </w:r>
          </w:p>
        </w:tc>
        <w:tc>
          <w:tcPr>
            <w:tcW w:w="502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662"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02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keepNext/>
              <w:keepLines/>
              <w:tabs>
                <w:tab w:val="left" w:pos="312"/>
              </w:tabs>
              <w:spacing w:before="260" w:line="240" w:lineRule="atLeast"/>
              <w:ind w:left="0" w:leftChars="0" w:firstLine="0" w:firstLineChars="0"/>
              <w:jc w:val="center"/>
              <w:rPr>
                <w:rFonts w:ascii="Times New Roman" w:hAnsi="Times New Roman" w:eastAsia="仿宋_GB2312"/>
                <w:sz w:val="24"/>
                <w:szCs w:val="24"/>
              </w:rPr>
            </w:pPr>
          </w:p>
        </w:tc>
        <w:tc>
          <w:tcPr>
            <w:tcW w:w="3662" w:type="dxa"/>
            <w:vMerge w:val="continue"/>
            <w:vAlign w:val="center"/>
          </w:tcPr>
          <w:p>
            <w:pPr>
              <w:keepNext/>
              <w:keepLines/>
              <w:spacing w:before="260" w:after="260"/>
              <w:jc w:val="left"/>
              <w:rPr>
                <w:rFonts w:ascii="Times New Roman" w:hAnsi="Times New Roman" w:eastAsia="仿宋_GB2312"/>
                <w:sz w:val="24"/>
                <w:szCs w:val="24"/>
              </w:rPr>
            </w:pPr>
          </w:p>
        </w:tc>
        <w:tc>
          <w:tcPr>
            <w:tcW w:w="502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tabs>
                <w:tab w:val="left" w:pos="312"/>
              </w:tabs>
              <w:spacing w:before="260" w:line="240" w:lineRule="atLeast"/>
              <w:ind w:left="0" w:leftChars="0" w:firstLine="0" w:firstLineChars="0"/>
              <w:jc w:val="center"/>
              <w:rPr>
                <w:rFonts w:ascii="Times New Roman" w:hAnsi="Times New Roman" w:eastAsia="黑体"/>
                <w:sz w:val="24"/>
                <w:szCs w:val="24"/>
              </w:rPr>
            </w:pPr>
          </w:p>
        </w:tc>
        <w:tc>
          <w:tcPr>
            <w:tcW w:w="3662"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02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widowControl/>
              <w:spacing w:line="240" w:lineRule="exact"/>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662" w:type="dxa"/>
            <w:vMerge w:val="restart"/>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67）食用农产品集中交易市场开办者落实食品安全管理责任，建立健全食品安全管理制度，履行入场销售者登记、市场自查、信息公示、督促入场销售者依法依规从事销售活动等管理责任，得3分；否则相应扣分。</w:t>
            </w:r>
          </w:p>
        </w:tc>
        <w:tc>
          <w:tcPr>
            <w:tcW w:w="5020"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管理制度未对外公示的，扣0.5分。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市场开办方及场内经营户证照未公示的，扣0.5分。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市场开办者未依法全面落实食品安全管理责任，在规定时限内向所在地县级市场监管部门报告，扣0.5分。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市场开办者未建立健全食品安全管理制度，未依法履行入场销售者登记、市场自查、信息公示、食品安全违法行为制止及报告、食品安全事故处置、投诉举报处置等主体责任，扣0.5分。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存在食用农产品与非食用农产品混放、食用农产品未分区销售行为，扣0.5分。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662" w:type="dxa"/>
            <w:vMerge w:val="continue"/>
            <w:vAlign w:val="top"/>
          </w:tcPr>
          <w:p>
            <w:pPr>
              <w:widowControl/>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存在食用农产品销售场所未按要求公布食用农产品相关信息的，扣0.5分。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bookmarkStart w:id="0" w:name="_GoBack"/>
            <w:bookmarkEnd w:id="0"/>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662" w:type="dxa"/>
            <w:vMerge w:val="continue"/>
            <w:vAlign w:val="top"/>
          </w:tcPr>
          <w:p>
            <w:pPr>
              <w:widowControl/>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存在销售禁止销售食用农产品等违法违规行为，扣0.5分。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662" w:type="dxa"/>
            <w:vMerge w:val="continue"/>
            <w:vAlign w:val="top"/>
          </w:tcPr>
          <w:p>
            <w:pPr>
              <w:widowControl/>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未开展定期消杀防疫作业，扣0.5分。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662" w:type="dxa"/>
            <w:vMerge w:val="continue"/>
            <w:vAlign w:val="top"/>
          </w:tcPr>
          <w:p>
            <w:pPr>
              <w:widowControl/>
              <w:jc w:val="center"/>
              <w:rPr>
                <w:rFonts w:ascii="Times New Roman" w:hAnsi="Times New Roman" w:eastAsia="仿宋_GB2312"/>
                <w:sz w:val="24"/>
                <w:szCs w:val="24"/>
              </w:rPr>
            </w:pPr>
          </w:p>
        </w:tc>
        <w:tc>
          <w:tcPr>
            <w:tcW w:w="5020"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采购、销售来源不明的进口冷链食品，扣0.5分。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662" w:type="dxa"/>
            <w:vMerge w:val="continue"/>
            <w:vAlign w:val="top"/>
          </w:tcPr>
          <w:p>
            <w:pPr>
              <w:widowControl/>
              <w:jc w:val="center"/>
              <w:rPr>
                <w:rFonts w:ascii="Times New Roman" w:hAnsi="Times New Roman" w:eastAsia="仿宋_GB2312"/>
                <w:sz w:val="24"/>
                <w:szCs w:val="24"/>
              </w:rPr>
            </w:pPr>
          </w:p>
        </w:tc>
        <w:tc>
          <w:tcPr>
            <w:tcW w:w="5020" w:type="dxa"/>
            <w:tcBorders>
              <w:top w:val="single" w:color="auto" w:sz="6" w:space="0"/>
              <w:bottom w:val="single" w:color="auto" w:sz="6" w:space="0"/>
            </w:tcBorders>
            <w:vAlign w:val="center"/>
          </w:tcPr>
          <w:p>
            <w:pPr>
              <w:widowControl/>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经营区域未做到干湿分离，扣0.5分。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662" w:type="dxa"/>
            <w:vMerge w:val="continue"/>
            <w:vAlign w:val="top"/>
          </w:tcPr>
          <w:p>
            <w:pPr>
              <w:widowControl/>
              <w:jc w:val="center"/>
              <w:rPr>
                <w:rFonts w:ascii="Times New Roman" w:hAnsi="Times New Roman" w:eastAsia="仿宋_GB2312"/>
                <w:sz w:val="24"/>
                <w:szCs w:val="24"/>
              </w:rPr>
            </w:pPr>
          </w:p>
        </w:tc>
        <w:tc>
          <w:tcPr>
            <w:tcW w:w="5020" w:type="dxa"/>
            <w:tcBorders>
              <w:top w:val="single" w:color="auto" w:sz="6" w:space="0"/>
              <w:bottom w:val="single" w:color="auto" w:sz="6" w:space="0"/>
            </w:tcBorders>
            <w:vAlign w:val="center"/>
          </w:tcPr>
          <w:p>
            <w:pPr>
              <w:widowControl/>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市场主办方未履行入市查验或经营户未严格实施进货查验等要求，扣0.5分。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top"/>
          </w:tcPr>
          <w:p>
            <w:pPr>
              <w:widowControl/>
              <w:spacing w:line="240" w:lineRule="exact"/>
              <w:jc w:val="center"/>
              <w:rPr>
                <w:rFonts w:ascii="Times New Roman" w:hAnsi="Times New Roman" w:eastAsia="仿宋_GB2312"/>
                <w:sz w:val="24"/>
                <w:szCs w:val="24"/>
              </w:rPr>
            </w:pPr>
          </w:p>
        </w:tc>
        <w:tc>
          <w:tcPr>
            <w:tcW w:w="3662" w:type="dxa"/>
            <w:vAlign w:val="top"/>
          </w:tcPr>
          <w:p>
            <w:pPr>
              <w:widowControl/>
              <w:jc w:val="left"/>
              <w:rPr>
                <w:rFonts w:ascii="Times New Roman" w:hAnsi="Times New Roman" w:eastAsia="仿宋_GB2312"/>
                <w:sz w:val="24"/>
                <w:szCs w:val="24"/>
              </w:rPr>
            </w:pPr>
            <w:r>
              <w:rPr>
                <w:rFonts w:ascii="Times New Roman" w:hAnsi="Times New Roman" w:eastAsia="仿宋_GB2312"/>
                <w:sz w:val="24"/>
                <w:szCs w:val="24"/>
              </w:rPr>
              <w:t>（68）食品销售连锁企业总部、大型食品批发企业、食品批发市场开办者建立并落实食品安全自查制度，自查报告率达到100%，得3分；否则不得分。</w:t>
            </w:r>
          </w:p>
        </w:tc>
        <w:tc>
          <w:tcPr>
            <w:tcW w:w="5020"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8"/>
              </w:rPr>
              <w:t>未按规定落实食品安全自查制度，未定期开展食品安全自查，自查报告率未达到100%，扣3分。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2.“（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451C0458"/>
    <w:rsid w:val="49046A73"/>
    <w:rsid w:val="5FBC6499"/>
    <w:rsid w:val="6E9B6935"/>
    <w:rsid w:val="6F743130"/>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